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F76" w14:textId="77777777" w:rsidR="0004675E" w:rsidRPr="0016519E" w:rsidRDefault="0016519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19E">
        <w:rPr>
          <w:rFonts w:ascii="Times New Roman" w:eastAsia="Times New Roman" w:hAnsi="Times New Roman" w:cs="Times New Roman"/>
          <w:b/>
          <w:bCs/>
          <w:sz w:val="32"/>
          <w:szCs w:val="32"/>
        </w:rPr>
        <w:t>Reflective technique to use in training or development*</w:t>
      </w:r>
    </w:p>
    <w:p w14:paraId="45C53508" w14:textId="77777777" w:rsidR="00F27E0B" w:rsidRDefault="006A72FA" w:rsidP="0016519E">
      <w:pPr>
        <w:ind w:left="720"/>
      </w:pPr>
      <w:r w:rsidRPr="0016519E">
        <w:t>1.  Provide reflection questions</w:t>
      </w:r>
      <w:r w:rsidR="0016519E">
        <w:t xml:space="preserve"> or a video of a student session</w:t>
      </w:r>
    </w:p>
    <w:p w14:paraId="399054B7" w14:textId="77777777" w:rsidR="00F27E0B" w:rsidRPr="0016519E" w:rsidRDefault="0016519E" w:rsidP="0016519E">
      <w:pPr>
        <w:ind w:left="720"/>
      </w:pPr>
      <w:r>
        <w:tab/>
        <w:t>Sample</w:t>
      </w:r>
      <w:r w:rsidR="006A72FA" w:rsidRPr="0016519E">
        <w:t xml:space="preserve"> question</w:t>
      </w:r>
      <w:r>
        <w:t>s:</w:t>
      </w:r>
    </w:p>
    <w:p w14:paraId="710EBE07" w14:textId="77777777" w:rsidR="00F27E0B" w:rsidRPr="0016519E" w:rsidRDefault="006A72FA" w:rsidP="0016519E">
      <w:pPr>
        <w:ind w:left="2160"/>
      </w:pPr>
      <w:r w:rsidRPr="0016519E">
        <w:t xml:space="preserve">What are some indicators of your success as a facilitator this past </w:t>
      </w:r>
      <w:r w:rsidR="0016519E" w:rsidRPr="0016519E">
        <w:t>year?</w:t>
      </w:r>
    </w:p>
    <w:p w14:paraId="5D9D12AB" w14:textId="77777777" w:rsidR="00F27E0B" w:rsidRPr="0016519E" w:rsidRDefault="006A72FA" w:rsidP="0016519E">
      <w:pPr>
        <w:ind w:left="2160"/>
      </w:pPr>
      <w:r w:rsidRPr="0016519E">
        <w:t>What aspect of facilitating groups did you appreciate the most this past year?</w:t>
      </w:r>
    </w:p>
    <w:p w14:paraId="6DE21B56" w14:textId="77777777" w:rsidR="00F27E0B" w:rsidRDefault="006A72FA" w:rsidP="0016519E">
      <w:pPr>
        <w:ind w:left="2160"/>
      </w:pPr>
      <w:r w:rsidRPr="0016519E">
        <w:t>Based on the themes of your experience as a facilitator this past year, what do you aspire to see happen or change in the coming year?</w:t>
      </w:r>
    </w:p>
    <w:p w14:paraId="163F9DB1" w14:textId="77777777" w:rsidR="0016519E" w:rsidRPr="0016519E" w:rsidRDefault="0016519E" w:rsidP="0016519E">
      <w:pPr>
        <w:ind w:left="2880"/>
      </w:pPr>
      <w:r>
        <w:t xml:space="preserve">N.B. </w:t>
      </w:r>
      <w:r w:rsidRPr="0016519E">
        <w:t>Create questions to drive the discussion to go beyond just a straightforward consideration of lessons learned.</w:t>
      </w:r>
    </w:p>
    <w:p w14:paraId="21915510" w14:textId="77777777" w:rsidR="00F27E0B" w:rsidRPr="0016519E" w:rsidRDefault="006A72FA" w:rsidP="0016519E">
      <w:pPr>
        <w:ind w:firstLine="720"/>
      </w:pPr>
      <w:r w:rsidRPr="0016519E">
        <w:t>2.  Participants depart for a time of journaling reflective thoughts</w:t>
      </w:r>
    </w:p>
    <w:p w14:paraId="5F78FE68" w14:textId="77777777" w:rsidR="00F27E0B" w:rsidRDefault="006A72FA" w:rsidP="0016519E">
      <w:pPr>
        <w:ind w:left="720"/>
      </w:pPr>
      <w:r w:rsidRPr="0016519E">
        <w:t>3.  Reconvene in reflective groups to share notes and entries.</w:t>
      </w:r>
    </w:p>
    <w:p w14:paraId="3FC4D371" w14:textId="77777777" w:rsidR="0016519E" w:rsidRPr="0016519E" w:rsidRDefault="0016519E" w:rsidP="0016519E">
      <w:pPr>
        <w:ind w:left="1440"/>
      </w:pPr>
      <w:r>
        <w:t>*</w:t>
      </w:r>
      <w:r w:rsidRPr="0016519E">
        <w:t>This could be done during a var</w:t>
      </w:r>
      <w:r>
        <w:t xml:space="preserve">iety of settings, but usually is with </w:t>
      </w:r>
      <w:r w:rsidRPr="0016519E">
        <w:t>small group</w:t>
      </w:r>
      <w:r>
        <w:t xml:space="preserve">s </w:t>
      </w:r>
      <w:proofErr w:type="gramStart"/>
      <w:r>
        <w:t>of  faculty</w:t>
      </w:r>
      <w:proofErr w:type="gramEnd"/>
      <w:r>
        <w:t xml:space="preserve"> facilitators.</w:t>
      </w:r>
    </w:p>
    <w:p w14:paraId="7CF072F5" w14:textId="77777777" w:rsidR="0016519E" w:rsidRPr="0016519E" w:rsidRDefault="0016519E">
      <w:pPr>
        <w:rPr>
          <w:rFonts w:ascii="Times New Roman" w:hAnsi="Times New Roman" w:cs="Times New Roman"/>
          <w:b/>
          <w:sz w:val="32"/>
          <w:szCs w:val="32"/>
        </w:rPr>
      </w:pPr>
      <w:r w:rsidRPr="0016519E">
        <w:rPr>
          <w:rFonts w:ascii="Times New Roman" w:hAnsi="Times New Roman" w:cs="Times New Roman"/>
          <w:b/>
          <w:sz w:val="32"/>
          <w:szCs w:val="32"/>
        </w:rPr>
        <w:t>Professional Learning Community</w:t>
      </w:r>
    </w:p>
    <w:p w14:paraId="2F772A33" w14:textId="77777777" w:rsidR="0016519E" w:rsidRDefault="0016519E" w:rsidP="0016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19E">
        <w:rPr>
          <w:rFonts w:ascii="Times New Roman" w:hAnsi="Times New Roman" w:cs="Times New Roman"/>
          <w:sz w:val="24"/>
          <w:szCs w:val="24"/>
        </w:rPr>
        <w:tab/>
        <w:t>1. Establish reflective groups</w:t>
      </w:r>
    </w:p>
    <w:p w14:paraId="099AB07C" w14:textId="77777777" w:rsidR="0016519E" w:rsidRDefault="0016519E" w:rsidP="00165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Develop group dynamics</w:t>
      </w:r>
    </w:p>
    <w:p w14:paraId="0E71433E" w14:textId="77777777" w:rsidR="0016519E" w:rsidRDefault="0016519E" w:rsidP="00165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Determine facilitator to lead the group</w:t>
      </w:r>
    </w:p>
    <w:p w14:paraId="2A2D4BDC" w14:textId="77777777" w:rsidR="0016519E" w:rsidRDefault="0016519E" w:rsidP="001651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40274" w14:textId="77777777" w:rsidR="0016519E" w:rsidRDefault="0016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Provide a generic low-risk scenario as initial focus for a group discussion</w:t>
      </w:r>
    </w:p>
    <w:p w14:paraId="489ED336" w14:textId="77777777" w:rsidR="0016519E" w:rsidRDefault="0016519E" w:rsidP="0016519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 awareness—expectation that discussion will bring participant’s ‘theory in use’ into their conscious foreground.</w:t>
      </w:r>
    </w:p>
    <w:p w14:paraId="1019ABDE" w14:textId="77777777" w:rsidR="0016519E" w:rsidRPr="0016519E" w:rsidRDefault="0016519E" w:rsidP="0016519E">
      <w:pPr>
        <w:ind w:left="1440"/>
        <w:rPr>
          <w:rFonts w:ascii="Times New Roman" w:hAnsi="Times New Roman" w:cs="Times New Roman"/>
          <w:sz w:val="24"/>
          <w:szCs w:val="24"/>
        </w:rPr>
      </w:pPr>
      <w:r w:rsidRPr="0016519E">
        <w:rPr>
          <w:rFonts w:ascii="Times New Roman" w:hAnsi="Times New Roman" w:cs="Times New Roman"/>
          <w:sz w:val="24"/>
          <w:szCs w:val="24"/>
        </w:rPr>
        <w:t xml:space="preserve">The idea is to question, probe, challenge, and encourage critical reflection by group members, thus creating greater awareness and understanding </w:t>
      </w:r>
      <w:r>
        <w:rPr>
          <w:rFonts w:ascii="Times New Roman" w:hAnsi="Times New Roman" w:cs="Times New Roman"/>
          <w:sz w:val="24"/>
          <w:szCs w:val="24"/>
        </w:rPr>
        <w:t xml:space="preserve">in individual of their beliefs, values, </w:t>
      </w:r>
      <w:r w:rsidRPr="0016519E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519E">
        <w:rPr>
          <w:rFonts w:ascii="Times New Roman" w:hAnsi="Times New Roman" w:cs="Times New Roman"/>
          <w:sz w:val="24"/>
          <w:szCs w:val="24"/>
        </w:rPr>
        <w:t xml:space="preserve"> assumptions concerning facilitati</w:t>
      </w:r>
      <w:r>
        <w:rPr>
          <w:rFonts w:ascii="Times New Roman" w:hAnsi="Times New Roman" w:cs="Times New Roman"/>
          <w:sz w:val="24"/>
          <w:szCs w:val="24"/>
        </w:rPr>
        <w:t>on.</w:t>
      </w:r>
    </w:p>
    <w:p w14:paraId="43E310AE" w14:textId="77777777" w:rsidR="0016519E" w:rsidRDefault="0016519E" w:rsidP="001651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Reflective Individual-This is accomplished w</w:t>
      </w:r>
      <w:r w:rsidRPr="0016519E">
        <w:rPr>
          <w:rFonts w:ascii="Times New Roman" w:hAnsi="Times New Roman" w:cs="Times New Roman"/>
          <w:sz w:val="24"/>
          <w:szCs w:val="24"/>
        </w:rPr>
        <w:t>ithin the reflective group,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Pr="0016519E">
        <w:rPr>
          <w:rFonts w:ascii="Times New Roman" w:hAnsi="Times New Roman" w:cs="Times New Roman"/>
          <w:sz w:val="24"/>
          <w:szCs w:val="24"/>
        </w:rPr>
        <w:t>is a more high-risk activity.  This involves critical analy</w:t>
      </w:r>
      <w:r>
        <w:rPr>
          <w:rFonts w:ascii="Times New Roman" w:hAnsi="Times New Roman" w:cs="Times New Roman"/>
          <w:sz w:val="24"/>
          <w:szCs w:val="24"/>
        </w:rPr>
        <w:t xml:space="preserve">sis of personal practice of </w:t>
      </w:r>
      <w:r w:rsidRPr="0016519E">
        <w:rPr>
          <w:rFonts w:ascii="Times New Roman" w:hAnsi="Times New Roman" w:cs="Times New Roman"/>
          <w:sz w:val="24"/>
          <w:szCs w:val="24"/>
        </w:rPr>
        <w:t>facilitation with the view to transform or modify behaviors and underlying person</w:t>
      </w:r>
      <w:r>
        <w:rPr>
          <w:rFonts w:ascii="Times New Roman" w:hAnsi="Times New Roman" w:cs="Times New Roman"/>
          <w:sz w:val="24"/>
          <w:szCs w:val="24"/>
        </w:rPr>
        <w:t>al theories-in –use.</w:t>
      </w:r>
    </w:p>
    <w:p w14:paraId="7903C36A" w14:textId="77777777" w:rsidR="0016519E" w:rsidRDefault="0016519E" w:rsidP="0016519E">
      <w:pPr>
        <w:ind w:left="720"/>
      </w:pPr>
      <w:r>
        <w:rPr>
          <w:rFonts w:ascii="Times New Roman" w:hAnsi="Times New Roman" w:cs="Times New Roman"/>
          <w:sz w:val="24"/>
          <w:szCs w:val="24"/>
        </w:rPr>
        <w:tab/>
      </w:r>
      <w:r w:rsidRPr="0016519E">
        <w:t>Process begins with participants sharing personal performance as a facilitator</w:t>
      </w:r>
      <w:r>
        <w:t>.</w:t>
      </w:r>
    </w:p>
    <w:p w14:paraId="206CC267" w14:textId="77777777" w:rsidR="0016519E" w:rsidRPr="0016519E" w:rsidRDefault="0016519E" w:rsidP="0016519E">
      <w:pPr>
        <w:ind w:left="2160"/>
      </w:pPr>
      <w:r>
        <w:t>F</w:t>
      </w:r>
      <w:r w:rsidRPr="0016519E">
        <w:t>acilitators</w:t>
      </w:r>
      <w:r>
        <w:t xml:space="preserve"> are asked</w:t>
      </w:r>
      <w:r w:rsidRPr="0016519E">
        <w:t xml:space="preserve"> to explore the thinking behind their practices</w:t>
      </w:r>
      <w:r>
        <w:t xml:space="preserve"> and share with their group</w:t>
      </w:r>
      <w:r w:rsidRPr="0016519E">
        <w:t xml:space="preserve">. </w:t>
      </w:r>
      <w:r>
        <w:t xml:space="preserve">  The intention of the group in this case </w:t>
      </w:r>
      <w:r w:rsidRPr="0016519E">
        <w:t xml:space="preserve">is to support the individual in clarifying, developing, and modifying their own thought process as it relates to </w:t>
      </w:r>
      <w:r>
        <w:t>‘</w:t>
      </w:r>
      <w:r w:rsidRPr="0016519E">
        <w:t>theories in use</w:t>
      </w:r>
      <w:r>
        <w:t>’</w:t>
      </w:r>
      <w:r w:rsidRPr="0016519E">
        <w:t xml:space="preserve"> as a facilitator.  The conflict, confusion, and discrepancies</w:t>
      </w:r>
      <w:r>
        <w:t xml:space="preserve"> that occur</w:t>
      </w:r>
      <w:r w:rsidRPr="0016519E">
        <w:t xml:space="preserve"> can lead individuals to a transformation over time that will yield changes in PBL facilitator practice.  This will vary individually, and really </w:t>
      </w:r>
      <w:r w:rsidRPr="0016519E">
        <w:lastRenderedPageBreak/>
        <w:t>needs to be</w:t>
      </w:r>
      <w:r>
        <w:t xml:space="preserve"> a</w:t>
      </w:r>
      <w:r w:rsidRPr="0016519E">
        <w:t xml:space="preserve"> cyclic process over time.  The ultimate goal of the reflective individual with the professional learning community is</w:t>
      </w:r>
      <w:r>
        <w:t xml:space="preserve"> </w:t>
      </w:r>
      <w:r w:rsidRPr="0016519E">
        <w:t>self-</w:t>
      </w:r>
      <w:proofErr w:type="gramStart"/>
      <w:r w:rsidRPr="0016519E">
        <w:t>monitoring;</w:t>
      </w:r>
      <w:proofErr w:type="gramEnd"/>
      <w:r w:rsidRPr="0016519E">
        <w:t xml:space="preserve"> self-analysis, and self-evaluation.</w:t>
      </w:r>
    </w:p>
    <w:p w14:paraId="076ABDDE" w14:textId="77777777" w:rsidR="0016519E" w:rsidRPr="0016519E" w:rsidRDefault="0016519E" w:rsidP="0016519E">
      <w:pPr>
        <w:ind w:left="2160"/>
      </w:pPr>
      <w:r w:rsidRPr="0016519E">
        <w:t>This process does take work and should focus on individual</w:t>
      </w:r>
      <w:r>
        <w:t>’</w:t>
      </w:r>
      <w:r w:rsidRPr="0016519E">
        <w:t>s efficacy, consciousness</w:t>
      </w:r>
      <w:r>
        <w:t xml:space="preserve"> and craft</w:t>
      </w:r>
      <w:r w:rsidRPr="0016519E">
        <w:t>smanship</w:t>
      </w:r>
      <w:r>
        <w:t xml:space="preserve"> as an educator.</w:t>
      </w:r>
    </w:p>
    <w:p w14:paraId="250295F6" w14:textId="77777777" w:rsidR="0016519E" w:rsidRPr="0016519E" w:rsidRDefault="0016519E" w:rsidP="0016519E">
      <w:pPr>
        <w:ind w:left="720"/>
      </w:pPr>
    </w:p>
    <w:p w14:paraId="6F3FCD90" w14:textId="77777777" w:rsidR="0016519E" w:rsidRPr="0016519E" w:rsidRDefault="0016519E" w:rsidP="0016519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BE0D49" w14:textId="77777777" w:rsidR="0016519E" w:rsidRPr="0016519E" w:rsidRDefault="0016519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sectPr w:rsidR="0016519E" w:rsidRPr="0016519E" w:rsidSect="006F65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5995" w14:textId="77777777" w:rsidR="006A72FA" w:rsidRDefault="006A72FA" w:rsidP="0016519E">
      <w:pPr>
        <w:spacing w:after="0" w:line="240" w:lineRule="auto"/>
      </w:pPr>
      <w:r>
        <w:separator/>
      </w:r>
    </w:p>
  </w:endnote>
  <w:endnote w:type="continuationSeparator" w:id="0">
    <w:p w14:paraId="248DF89D" w14:textId="77777777" w:rsidR="006A72FA" w:rsidRDefault="006A72FA" w:rsidP="0016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B302" w14:textId="77777777" w:rsidR="006A72FA" w:rsidRDefault="006A72FA" w:rsidP="0016519E">
      <w:pPr>
        <w:spacing w:after="0" w:line="240" w:lineRule="auto"/>
      </w:pPr>
      <w:r>
        <w:separator/>
      </w:r>
    </w:p>
  </w:footnote>
  <w:footnote w:type="continuationSeparator" w:id="0">
    <w:p w14:paraId="0F5C8E85" w14:textId="77777777" w:rsidR="006A72FA" w:rsidRDefault="006A72FA" w:rsidP="0016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5FB" w14:textId="77777777" w:rsidR="0016519E" w:rsidRDefault="0016519E">
    <w:pPr>
      <w:pStyle w:val="Header"/>
    </w:pPr>
    <w:r>
      <w:t>Facilitator Calibration Models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2999"/>
    <w:multiLevelType w:val="hybridMultilevel"/>
    <w:tmpl w:val="FA84362A"/>
    <w:lvl w:ilvl="0" w:tplc="728E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5464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5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4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2F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60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0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9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EF2289"/>
    <w:multiLevelType w:val="hybridMultilevel"/>
    <w:tmpl w:val="4BE4FBEE"/>
    <w:lvl w:ilvl="0" w:tplc="7A28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E2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2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C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C8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0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2633918">
    <w:abstractNumId w:val="1"/>
  </w:num>
  <w:num w:numId="2" w16cid:durableId="138051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9E"/>
    <w:rsid w:val="0016519E"/>
    <w:rsid w:val="00547DC7"/>
    <w:rsid w:val="006A72FA"/>
    <w:rsid w:val="006F6559"/>
    <w:rsid w:val="008773DB"/>
    <w:rsid w:val="00F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7B1F"/>
  <w15:chartTrackingRefBased/>
  <w15:docId w15:val="{0ABF5413-E066-41E8-8695-A1B4DC6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1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c-mb-6">
    <w:name w:val="mc-mb-6"/>
    <w:basedOn w:val="Normal"/>
    <w:rsid w:val="0016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9E"/>
  </w:style>
  <w:style w:type="paragraph" w:styleId="Footer">
    <w:name w:val="footer"/>
    <w:basedOn w:val="Normal"/>
    <w:link w:val="FooterChar"/>
    <w:uiPriority w:val="99"/>
    <w:unhideWhenUsed/>
    <w:rsid w:val="0016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Blase P.</dc:creator>
  <cp:keywords/>
  <dc:description/>
  <cp:lastModifiedBy>Yzaguirre, Ben</cp:lastModifiedBy>
  <cp:revision>2</cp:revision>
  <dcterms:created xsi:type="dcterms:W3CDTF">2022-07-21T18:10:00Z</dcterms:created>
  <dcterms:modified xsi:type="dcterms:W3CDTF">2022-07-21T18:10:00Z</dcterms:modified>
</cp:coreProperties>
</file>